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B842" w14:textId="77777777" w:rsidR="0073310B" w:rsidRPr="00484561" w:rsidRDefault="007C0954" w:rsidP="00B36B60">
      <w:pPr>
        <w:jc w:val="center"/>
        <w:rPr>
          <w:rFonts w:ascii="Candara" w:hAnsi="Candara"/>
          <w:b/>
          <w:spacing w:val="-16"/>
          <w:w w:val="105"/>
          <w:sz w:val="24"/>
          <w:szCs w:val="24"/>
        </w:rPr>
      </w:pPr>
      <w:r w:rsidRPr="00484561">
        <w:rPr>
          <w:rFonts w:ascii="Candara" w:hAnsi="Candara"/>
          <w:b/>
          <w:sz w:val="24"/>
          <w:szCs w:val="24"/>
        </w:rPr>
        <w:t xml:space="preserve">FICHA </w:t>
      </w:r>
      <w:r w:rsidRPr="00484561">
        <w:rPr>
          <w:rFonts w:ascii="Candara" w:hAnsi="Candara"/>
          <w:b/>
          <w:spacing w:val="-4"/>
          <w:sz w:val="24"/>
          <w:szCs w:val="24"/>
        </w:rPr>
        <w:t>TÉCNICA</w:t>
      </w:r>
    </w:p>
    <w:p w14:paraId="45497A8B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pacing w:val="-16"/>
          <w:w w:val="105"/>
          <w:sz w:val="24"/>
          <w:szCs w:val="24"/>
        </w:rPr>
        <w:t>ESTADÍSTICA</w:t>
      </w:r>
      <w:r w:rsidR="006D629E" w:rsidRPr="00741C4F">
        <w:rPr>
          <w:rFonts w:ascii="Candara" w:hAnsi="Candara"/>
          <w:b/>
          <w:spacing w:val="-16"/>
          <w:w w:val="105"/>
          <w:sz w:val="24"/>
          <w:szCs w:val="24"/>
        </w:rPr>
        <w:t xml:space="preserve"> 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DE INICIATIVAS Y PUNTOS DE ACUERDO PRESENTADAS Y APROBRADAS</w:t>
      </w:r>
      <w:r w:rsidR="00741C4F">
        <w:rPr>
          <w:rFonts w:ascii="Candara" w:hAnsi="Candara"/>
          <w:b/>
          <w:spacing w:val="-18"/>
          <w:w w:val="105"/>
          <w:sz w:val="24"/>
          <w:szCs w:val="24"/>
        </w:rPr>
        <w:t>, CLASIFICADAS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 xml:space="preserve"> POR </w:t>
      </w:r>
      <w:r w:rsidR="00741C4F" w:rsidRPr="00741C4F">
        <w:rPr>
          <w:rFonts w:ascii="Candara" w:hAnsi="Candara"/>
          <w:b/>
          <w:spacing w:val="-18"/>
          <w:w w:val="105"/>
          <w:sz w:val="24"/>
          <w:szCs w:val="24"/>
        </w:rPr>
        <w:t>PROMOVENTE</w:t>
      </w:r>
      <w:r w:rsidR="001F76CB">
        <w:rPr>
          <w:rFonts w:ascii="Candara" w:hAnsi="Candara"/>
          <w:b/>
          <w:spacing w:val="-18"/>
          <w:w w:val="105"/>
          <w:sz w:val="24"/>
          <w:szCs w:val="24"/>
        </w:rPr>
        <w:t>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.</w:t>
      </w:r>
    </w:p>
    <w:p w14:paraId="2EEEF3AC" w14:textId="77777777" w:rsidR="007C0954" w:rsidRPr="00741C4F" w:rsidRDefault="007C0954" w:rsidP="00741C4F">
      <w:pPr>
        <w:spacing w:before="187" w:line="240" w:lineRule="auto"/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color w:val="231F20"/>
          <w:w w:val="105"/>
          <w:sz w:val="24"/>
          <w:szCs w:val="24"/>
        </w:rPr>
        <w:t>Sistema de Indicadores del</w:t>
      </w:r>
      <w:r w:rsidR="0073310B" w:rsidRPr="00741C4F">
        <w:rPr>
          <w:rFonts w:ascii="Candara" w:hAnsi="Candara"/>
          <w:sz w:val="24"/>
          <w:szCs w:val="24"/>
        </w:rPr>
        <w:t xml:space="preserve"> </w:t>
      </w:r>
      <w:r w:rsidRPr="00741C4F">
        <w:rPr>
          <w:rFonts w:ascii="Candara" w:hAnsi="Candara"/>
          <w:color w:val="231F20"/>
          <w:w w:val="105"/>
          <w:sz w:val="24"/>
          <w:szCs w:val="24"/>
        </w:rPr>
        <w:t>Poder Legislativo del Estado de Oaxaca</w:t>
      </w:r>
      <w:r w:rsidR="00741C4F">
        <w:rPr>
          <w:rFonts w:ascii="Candara" w:hAnsi="Candara"/>
          <w:color w:val="231F20"/>
          <w:w w:val="105"/>
          <w:sz w:val="24"/>
          <w:szCs w:val="24"/>
        </w:rPr>
        <w:t>.</w:t>
      </w:r>
    </w:p>
    <w:p w14:paraId="2006EAC6" w14:textId="77777777" w:rsidR="006D629E" w:rsidRPr="00741C4F" w:rsidRDefault="006D629E" w:rsidP="006D629E">
      <w:pPr>
        <w:jc w:val="center"/>
        <w:rPr>
          <w:rFonts w:ascii="Candara" w:hAnsi="Candara"/>
          <w:b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INDICADORES</w:t>
      </w:r>
      <w:r w:rsidR="00741C4F">
        <w:rPr>
          <w:rFonts w:ascii="Candara" w:hAnsi="Candara"/>
          <w:b/>
          <w:sz w:val="24"/>
          <w:szCs w:val="24"/>
        </w:rPr>
        <w:t>.</w:t>
      </w:r>
    </w:p>
    <w:p w14:paraId="446966E0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Subsistema:</w:t>
      </w:r>
      <w:r w:rsidRPr="00741C4F">
        <w:rPr>
          <w:rFonts w:ascii="Candara" w:hAnsi="Candara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No aplica</w:t>
      </w:r>
    </w:p>
    <w:p w14:paraId="1A9C7B04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>Objetivo:</w:t>
      </w:r>
      <w:r w:rsidRPr="0092160B">
        <w:rPr>
          <w:rFonts w:ascii="Candara" w:hAnsi="Candara"/>
          <w:sz w:val="24"/>
          <w:szCs w:val="24"/>
        </w:rPr>
        <w:t xml:space="preserve"> Rendir cuentas del </w:t>
      </w:r>
      <w:r w:rsidR="0092160B" w:rsidRPr="0092160B">
        <w:rPr>
          <w:rFonts w:ascii="Candara" w:hAnsi="Candara"/>
          <w:sz w:val="24"/>
          <w:szCs w:val="24"/>
        </w:rPr>
        <w:t>trabajo L</w:t>
      </w:r>
      <w:r w:rsidRPr="0092160B">
        <w:rPr>
          <w:rFonts w:ascii="Candara" w:hAnsi="Candara"/>
          <w:sz w:val="24"/>
          <w:szCs w:val="24"/>
        </w:rPr>
        <w:t>egislativo</w:t>
      </w:r>
      <w:r w:rsidR="0092160B">
        <w:rPr>
          <w:rFonts w:ascii="Candara" w:hAnsi="Candara"/>
          <w:sz w:val="24"/>
          <w:szCs w:val="24"/>
        </w:rPr>
        <w:t>.</w:t>
      </w:r>
    </w:p>
    <w:p w14:paraId="0028018D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 xml:space="preserve">Resultado </w:t>
      </w:r>
      <w:r w:rsidRPr="0092160B">
        <w:rPr>
          <w:rFonts w:ascii="Candara" w:hAnsi="Candara"/>
          <w:b/>
          <w:spacing w:val="-5"/>
          <w:sz w:val="24"/>
          <w:szCs w:val="24"/>
        </w:rPr>
        <w:t xml:space="preserve">Clave: </w:t>
      </w:r>
      <w:r w:rsidRPr="0092160B">
        <w:rPr>
          <w:rFonts w:ascii="Candara" w:hAnsi="Candara"/>
          <w:sz w:val="24"/>
          <w:szCs w:val="24"/>
        </w:rPr>
        <w:t>Que</w:t>
      </w:r>
      <w:r w:rsidRPr="0092160B">
        <w:rPr>
          <w:rFonts w:ascii="Candara" w:hAnsi="Candara"/>
          <w:spacing w:val="-13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los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usuarios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 w:rsidRPr="0092160B">
        <w:rPr>
          <w:rFonts w:ascii="Candara" w:hAnsi="Candara"/>
          <w:spacing w:val="-13"/>
          <w:sz w:val="24"/>
          <w:szCs w:val="24"/>
        </w:rPr>
        <w:t>tengan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acceso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>
        <w:rPr>
          <w:rFonts w:ascii="Candara" w:hAnsi="Candara"/>
          <w:spacing w:val="-12"/>
          <w:sz w:val="24"/>
          <w:szCs w:val="24"/>
        </w:rPr>
        <w:t>l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a </w:t>
      </w:r>
      <w:r w:rsidR="001F76CB">
        <w:rPr>
          <w:rFonts w:ascii="Candara" w:hAnsi="Candara"/>
          <w:spacing w:val="-16"/>
          <w:w w:val="105"/>
          <w:sz w:val="24"/>
          <w:szCs w:val="24"/>
        </w:rPr>
        <w:t xml:space="preserve">información relativa a las </w:t>
      </w:r>
      <w:r w:rsidR="0092160B">
        <w:rPr>
          <w:rFonts w:ascii="Candara" w:hAnsi="Candara"/>
          <w:spacing w:val="-18"/>
          <w:w w:val="105"/>
          <w:sz w:val="24"/>
          <w:szCs w:val="24"/>
        </w:rPr>
        <w:t xml:space="preserve"> Iniciativas y Puntos de A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>cuerdo presentadas y aprobadas, clasificadas por promovente</w:t>
      </w:r>
      <w:r w:rsidR="0092160B">
        <w:rPr>
          <w:rFonts w:ascii="Candara" w:hAnsi="Candara"/>
          <w:spacing w:val="-18"/>
          <w:w w:val="105"/>
          <w:sz w:val="24"/>
          <w:szCs w:val="24"/>
        </w:rPr>
        <w:t>,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</w:t>
      </w:r>
      <w:r w:rsidR="0092160B">
        <w:rPr>
          <w:rFonts w:ascii="Candara" w:hAnsi="Candara"/>
          <w:spacing w:val="-18"/>
          <w:w w:val="105"/>
          <w:sz w:val="24"/>
          <w:szCs w:val="24"/>
        </w:rPr>
        <w:t>generadas de manera trimestral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y al listado</w:t>
      </w:r>
      <w:r w:rsidR="001F76CB">
        <w:rPr>
          <w:rFonts w:ascii="Candara" w:hAnsi="Candara"/>
          <w:spacing w:val="-18"/>
          <w:w w:val="105"/>
          <w:sz w:val="24"/>
          <w:szCs w:val="24"/>
        </w:rPr>
        <w:t xml:space="preserve"> general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de Iniciativas y Puntos de Acuerdo</w:t>
      </w:r>
      <w:r w:rsidR="001F76CB">
        <w:rPr>
          <w:rFonts w:ascii="Candara" w:hAnsi="Candara"/>
          <w:sz w:val="24"/>
          <w:szCs w:val="24"/>
        </w:rPr>
        <w:t xml:space="preserve"> de la Legislatura</w:t>
      </w:r>
      <w:r w:rsidR="0092160B" w:rsidRPr="0092160B">
        <w:rPr>
          <w:rFonts w:ascii="Candara" w:hAnsi="Candara"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92820" w:rsidRPr="00741C4F" w14:paraId="656B168A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9D04170" w14:textId="77777777" w:rsidR="00E92820" w:rsidRPr="00741C4F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41C4F">
              <w:rPr>
                <w:rFonts w:ascii="Candara" w:hAnsi="Candara"/>
                <w:b/>
                <w:sz w:val="24"/>
                <w:szCs w:val="24"/>
              </w:rPr>
              <w:t>Datos de Identificación</w:t>
            </w:r>
          </w:p>
        </w:tc>
      </w:tr>
      <w:tr w:rsidR="00E92820" w:rsidRPr="00741C4F" w14:paraId="585B1AD3" w14:textId="77777777" w:rsidTr="009C5502">
        <w:tc>
          <w:tcPr>
            <w:tcW w:w="5056" w:type="dxa"/>
          </w:tcPr>
          <w:p w14:paraId="584CA4D3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Nombre del indicador</w:t>
            </w:r>
          </w:p>
        </w:tc>
        <w:tc>
          <w:tcPr>
            <w:tcW w:w="5056" w:type="dxa"/>
          </w:tcPr>
          <w:p w14:paraId="0F5C05E7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Definición</w:t>
            </w:r>
          </w:p>
        </w:tc>
      </w:tr>
      <w:tr w:rsidR="00E92820" w:rsidRPr="00741C4F" w14:paraId="0AF72B19" w14:textId="77777777" w:rsidTr="009C5502">
        <w:tc>
          <w:tcPr>
            <w:tcW w:w="5056" w:type="dxa"/>
          </w:tcPr>
          <w:p w14:paraId="3A20FB6D" w14:textId="77777777" w:rsidR="00E92820" w:rsidRPr="0092160B" w:rsidRDefault="0092160B" w:rsidP="009778C4">
            <w:pPr>
              <w:pStyle w:val="Textoindependiente"/>
              <w:spacing w:before="41" w:line="235" w:lineRule="auto"/>
              <w:ind w:right="24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pacing w:val="-16"/>
                <w:w w:val="105"/>
                <w:sz w:val="24"/>
                <w:szCs w:val="24"/>
                <w:lang w:val="es-MX"/>
              </w:rPr>
              <w:t>E</w:t>
            </w:r>
            <w:r w:rsidRPr="0092160B"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stadística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de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aprobadas, clasificadas por promovente</w:t>
            </w:r>
            <w:r w:rsidR="00801045">
              <w:rPr>
                <w:rFonts w:ascii="Candara" w:hAnsi="Candara"/>
                <w:spacing w:val="-18"/>
                <w:w w:val="105"/>
                <w:sz w:val="24"/>
                <w:szCs w:val="24"/>
              </w:rPr>
              <w:t>s.</w:t>
            </w:r>
          </w:p>
        </w:tc>
        <w:tc>
          <w:tcPr>
            <w:tcW w:w="5056" w:type="dxa"/>
          </w:tcPr>
          <w:p w14:paraId="1E5A583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Es el resultado de</w:t>
            </w:r>
            <w:r w:rsidR="0092160B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pacing w:val="-12"/>
                <w:sz w:val="24"/>
                <w:szCs w:val="24"/>
              </w:rPr>
              <w:t>l</w:t>
            </w:r>
            <w:r w:rsidRPr="0092160B">
              <w:rPr>
                <w:rFonts w:ascii="Candara" w:hAnsi="Candara"/>
                <w:spacing w:val="-12"/>
                <w:sz w:val="24"/>
                <w:szCs w:val="24"/>
              </w:rPr>
              <w:t xml:space="preserve">a </w:t>
            </w:r>
            <w:r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información relativa a las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 xml:space="preserve">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.</w:t>
            </w:r>
          </w:p>
        </w:tc>
      </w:tr>
      <w:tr w:rsidR="00E92820" w:rsidRPr="00741C4F" w14:paraId="23F4A483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473D0DE3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Dimensión a medir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0C4A92F6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Tipo de indicador</w:t>
            </w:r>
          </w:p>
        </w:tc>
      </w:tr>
      <w:tr w:rsidR="00E92820" w:rsidRPr="00741C4F" w14:paraId="0C696C21" w14:textId="77777777" w:rsidTr="009C5502">
        <w:tc>
          <w:tcPr>
            <w:tcW w:w="5056" w:type="dxa"/>
          </w:tcPr>
          <w:p w14:paraId="7B57F174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Eficacia</w:t>
            </w:r>
          </w:p>
        </w:tc>
        <w:tc>
          <w:tcPr>
            <w:tcW w:w="5056" w:type="dxa"/>
          </w:tcPr>
          <w:p w14:paraId="77D6F45C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 Proceso</w:t>
            </w:r>
          </w:p>
        </w:tc>
      </w:tr>
      <w:tr w:rsidR="00E92820" w:rsidRPr="00741C4F" w14:paraId="376D598F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4365E775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Método de cálculo</w:t>
            </w:r>
          </w:p>
        </w:tc>
      </w:tr>
      <w:tr w:rsidR="00E92820" w:rsidRPr="00741C4F" w14:paraId="2A17FCB1" w14:textId="77777777" w:rsidTr="009C5502">
        <w:tc>
          <w:tcPr>
            <w:tcW w:w="10112" w:type="dxa"/>
            <w:gridSpan w:val="2"/>
          </w:tcPr>
          <w:p w14:paraId="7911858F" w14:textId="77777777" w:rsidR="00E92820" w:rsidRPr="0092160B" w:rsidRDefault="00080594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presentado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s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o fue presentada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303DAB26" w14:textId="77777777" w:rsidR="0073310B" w:rsidRPr="0092160B" w:rsidRDefault="007331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aprobados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Acuerdo fue presentada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48DB8F5F" w14:textId="77777777" w:rsidR="0073310B" w:rsidRPr="0092160B" w:rsidRDefault="009216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*L</w:t>
            </w:r>
            <w:r w:rsidR="0073310B" w:rsidRPr="0092160B">
              <w:rPr>
                <w:rFonts w:ascii="Candara" w:hAnsi="Candara"/>
                <w:sz w:val="24"/>
                <w:szCs w:val="24"/>
              </w:rPr>
              <w:t>os datos que se generan en la estadística son al corte de cada trimestre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11456F0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7545C938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Metadatos</w:t>
            </w:r>
          </w:p>
        </w:tc>
      </w:tr>
      <w:tr w:rsidR="00E92820" w:rsidRPr="00741C4F" w14:paraId="66248A22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2FC0C817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Instituc</w:t>
            </w:r>
            <w:r w:rsidR="00741C4F" w:rsidRPr="0092160B">
              <w:rPr>
                <w:rFonts w:ascii="Candara" w:hAnsi="Candara"/>
                <w:b/>
                <w:sz w:val="24"/>
                <w:szCs w:val="24"/>
              </w:rPr>
              <w:t>ión o área responsable del indic</w:t>
            </w:r>
            <w:r w:rsidRPr="0092160B">
              <w:rPr>
                <w:rFonts w:ascii="Candara" w:hAnsi="Candara"/>
                <w:b/>
                <w:sz w:val="24"/>
                <w:szCs w:val="24"/>
              </w:rPr>
              <w:t>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11C8F9D1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Fuentes</w:t>
            </w:r>
          </w:p>
        </w:tc>
      </w:tr>
      <w:tr w:rsidR="00E92820" w:rsidRPr="00741C4F" w14:paraId="49AC5947" w14:textId="77777777" w:rsidTr="009C5502">
        <w:tc>
          <w:tcPr>
            <w:tcW w:w="5056" w:type="dxa"/>
          </w:tcPr>
          <w:p w14:paraId="22D437EF" w14:textId="77777777" w:rsidR="00E92820" w:rsidRDefault="00E92820" w:rsidP="007C0954">
            <w:pPr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</w:pPr>
            <w:r w:rsidRPr="0092160B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Dirección de Apoyo Legislativo y a Comisiones</w:t>
            </w:r>
            <w:r w:rsidR="00801045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.</w:t>
            </w:r>
          </w:p>
          <w:p w14:paraId="42728FC9" w14:textId="77777777" w:rsidR="00766BD5" w:rsidRPr="0092160B" w:rsidRDefault="00766BD5" w:rsidP="007C0954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002E231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Listado </w:t>
            </w:r>
            <w:r w:rsidR="00801045">
              <w:rPr>
                <w:rFonts w:ascii="Candara" w:hAnsi="Candara"/>
                <w:sz w:val="24"/>
                <w:szCs w:val="24"/>
              </w:rPr>
              <w:t>General de Iniciativas y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Puntos de Acuerdo</w:t>
            </w:r>
            <w:r w:rsidR="00801045"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420FDAC8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73E9CCB6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Numerador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6B5F4CBD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Denominador</w:t>
            </w:r>
          </w:p>
        </w:tc>
      </w:tr>
      <w:tr w:rsidR="00E92820" w:rsidRPr="00741C4F" w14:paraId="49A3019E" w14:textId="77777777" w:rsidTr="009C5502">
        <w:tc>
          <w:tcPr>
            <w:tcW w:w="5056" w:type="dxa"/>
          </w:tcPr>
          <w:p w14:paraId="754908B0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aprobados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5056" w:type="dxa"/>
          </w:tcPr>
          <w:p w14:paraId="0DDF4692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presentados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3B8BA5BF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0D81D52E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Unidad de análisis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48DC03D4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Fecha de disponibilidad de la información</w:t>
            </w:r>
          </w:p>
        </w:tc>
      </w:tr>
      <w:tr w:rsidR="00E92820" w:rsidRPr="00741C4F" w14:paraId="08648570" w14:textId="77777777" w:rsidTr="009C5502">
        <w:tc>
          <w:tcPr>
            <w:tcW w:w="5056" w:type="dxa"/>
          </w:tcPr>
          <w:p w14:paraId="7762600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asuntos aprobados de los presentados por los promoventes, de manera trimestral.</w:t>
            </w:r>
          </w:p>
        </w:tc>
        <w:tc>
          <w:tcPr>
            <w:tcW w:w="5056" w:type="dxa"/>
          </w:tcPr>
          <w:p w14:paraId="140B1655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Al cierre del termino de cada trimestre</w:t>
            </w:r>
          </w:p>
        </w:tc>
      </w:tr>
      <w:tr w:rsidR="00080594" w:rsidRPr="00741C4F" w14:paraId="5BC4C7A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35FC2E7" w14:textId="77777777" w:rsidR="00080594" w:rsidRPr="0092160B" w:rsidRDefault="00484561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Documento Normativo</w:t>
            </w:r>
          </w:p>
        </w:tc>
      </w:tr>
      <w:tr w:rsidR="00080594" w:rsidRPr="00741C4F" w14:paraId="37F049CB" w14:textId="77777777" w:rsidTr="009C5502">
        <w:tc>
          <w:tcPr>
            <w:tcW w:w="10112" w:type="dxa"/>
            <w:gridSpan w:val="2"/>
            <w:shd w:val="clear" w:color="auto" w:fill="FFFFFF" w:themeFill="background1"/>
          </w:tcPr>
          <w:p w14:paraId="272BF9D5" w14:textId="77777777" w:rsidR="00801045" w:rsidRDefault="009778C4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e conformidad </w:t>
            </w:r>
            <w:r>
              <w:rPr>
                <w:rFonts w:ascii="Candara" w:hAnsi="Candara"/>
                <w:sz w:val="24"/>
                <w:szCs w:val="24"/>
              </w:rPr>
              <w:t>con el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 artículo 50 de la Constitución Política del Es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tado Libre y Soberano de Oaxaca, 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>el artículo 104 de la Ley Orgánica del Poder Legislativo del Estado Libre y Soberano de Oaxaca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 y artículo 54 del Reglamento Interior del Congreso del Estado, los facultados para </w:t>
            </w:r>
            <w:r w:rsidR="00F9609D">
              <w:rPr>
                <w:rFonts w:ascii="Candara" w:hAnsi="Candara"/>
                <w:sz w:val="24"/>
                <w:szCs w:val="24"/>
              </w:rPr>
              <w:t>presentar las Iniciativas son</w:t>
            </w:r>
            <w:r w:rsidR="00801045">
              <w:rPr>
                <w:rFonts w:ascii="Candara" w:hAnsi="Candara"/>
                <w:sz w:val="24"/>
                <w:szCs w:val="24"/>
              </w:rPr>
              <w:t>:</w:t>
            </w:r>
          </w:p>
          <w:p w14:paraId="5D1C21A4" w14:textId="77777777" w:rsidR="00801045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B43727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Diputados;</w:t>
            </w:r>
          </w:p>
          <w:p w14:paraId="0589EEB5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 xml:space="preserve">El 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Gobernador Constitucional del Estado; </w:t>
            </w:r>
          </w:p>
          <w:p w14:paraId="17975C3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 Tribunal Superior de Justicia en todo lo relativo a la Administración de Justicia y Orgánico Judicial; </w:t>
            </w:r>
          </w:p>
          <w:p w14:paraId="24B86D63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Órganos Autónomos del Estado, </w:t>
            </w:r>
            <w:r w:rsidRPr="009778C4">
              <w:rPr>
                <w:rFonts w:ascii="Candara" w:hAnsi="Candara"/>
                <w:sz w:val="24"/>
                <w:szCs w:val="24"/>
              </w:rPr>
              <w:t>en el ámbito de su competencia;</w:t>
            </w:r>
          </w:p>
          <w:p w14:paraId="5249418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Ayuntamientos; </w:t>
            </w:r>
          </w:p>
          <w:p w14:paraId="5F64050D" w14:textId="77777777" w:rsidR="00BB42A3" w:rsidRPr="009778C4" w:rsidRDefault="00BB42A3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 Órgano Superior de Fiscalización del Estado de Oaxaca en la materia de su competencia;</w:t>
            </w:r>
          </w:p>
          <w:p w14:paraId="1B22AD3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Ciudadanos del Estado; y</w:t>
            </w:r>
          </w:p>
          <w:p w14:paraId="1C5C33F5" w14:textId="77777777" w:rsidR="00801045" w:rsidRPr="009C5502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pueblos y comunidades indígenas y afromexicanas.</w:t>
            </w:r>
          </w:p>
          <w:p w14:paraId="18420616" w14:textId="77777777" w:rsidR="009C5502" w:rsidRPr="00801045" w:rsidRDefault="009C5502" w:rsidP="009C5502">
            <w:pPr>
              <w:pStyle w:val="Prrafodelista"/>
              <w:ind w:left="1080"/>
              <w:jc w:val="both"/>
            </w:pPr>
          </w:p>
        </w:tc>
      </w:tr>
    </w:tbl>
    <w:p w14:paraId="184BB562" w14:textId="77777777" w:rsidR="00E92820" w:rsidRPr="007C0954" w:rsidRDefault="00E92820" w:rsidP="007C0954"/>
    <w:p w14:paraId="2B7A32C4" w14:textId="77777777" w:rsidR="007C0954" w:rsidRPr="007C0954" w:rsidRDefault="007C0954" w:rsidP="007C0954">
      <w:pPr>
        <w:jc w:val="center"/>
        <w:rPr>
          <w:lang w:val="es-ES"/>
        </w:rPr>
      </w:pPr>
    </w:p>
    <w:p w14:paraId="09FA4B98" w14:textId="77777777" w:rsidR="006D629E" w:rsidRDefault="006D629E" w:rsidP="006D629E">
      <w:pPr>
        <w:pStyle w:val="Textoindependiente"/>
        <w:spacing w:before="41" w:line="235" w:lineRule="auto"/>
        <w:ind w:left="263" w:right="24"/>
      </w:pPr>
    </w:p>
    <w:p w14:paraId="6232B725" w14:textId="77777777" w:rsidR="007C0954" w:rsidRPr="007C0954" w:rsidRDefault="007C0954" w:rsidP="007C0954"/>
    <w:p w14:paraId="4EA8F7BB" w14:textId="77777777" w:rsidR="007C0954" w:rsidRPr="007C0954" w:rsidRDefault="007C0954" w:rsidP="007C0954"/>
    <w:p w14:paraId="4334B359" w14:textId="77777777" w:rsidR="007C0954" w:rsidRPr="007C0954" w:rsidRDefault="007C0954" w:rsidP="007C0954"/>
    <w:sectPr w:rsidR="007C0954" w:rsidRPr="007C0954" w:rsidSect="003F08D5">
      <w:headerReference w:type="default" r:id="rId8"/>
      <w:footerReference w:type="default" r:id="rId9"/>
      <w:pgSz w:w="12240" w:h="15840" w:code="1"/>
      <w:pgMar w:top="3402" w:right="1134" w:bottom="1134" w:left="1134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5F9F" w14:textId="77777777" w:rsidR="0005035A" w:rsidRDefault="0005035A" w:rsidP="006932CE">
      <w:pPr>
        <w:spacing w:after="0" w:line="240" w:lineRule="auto"/>
      </w:pPr>
      <w:r>
        <w:separator/>
      </w:r>
    </w:p>
  </w:endnote>
  <w:endnote w:type="continuationSeparator" w:id="0">
    <w:p w14:paraId="5E1F483E" w14:textId="77777777" w:rsidR="0005035A" w:rsidRDefault="0005035A" w:rsidP="0069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4BF" w14:textId="578AD895" w:rsidR="004A49CB" w:rsidRPr="003620A5" w:rsidRDefault="004A49CB" w:rsidP="004A49CB">
    <w:pPr>
      <w:rPr>
        <w:rFonts w:ascii="Century Gothic" w:eastAsia="Calibri" w:hAnsi="Century Gothic" w:cs="Arial"/>
        <w:sz w:val="16"/>
        <w:szCs w:val="16"/>
      </w:rPr>
    </w:pPr>
  </w:p>
  <w:p w14:paraId="1DDD9164" w14:textId="77777777" w:rsidR="003F08D5" w:rsidRPr="003620A5" w:rsidRDefault="003F08D5" w:rsidP="003F08D5">
    <w:pPr>
      <w:rPr>
        <w:noProof/>
      </w:rPr>
    </w:pPr>
  </w:p>
  <w:p w14:paraId="581F602D" w14:textId="77777777" w:rsidR="001F67A8" w:rsidRPr="003620A5" w:rsidRDefault="003F08D5" w:rsidP="003F08D5">
    <w:pPr>
      <w:pStyle w:val="Piedepgina"/>
      <w:tabs>
        <w:tab w:val="clear" w:pos="4419"/>
        <w:tab w:val="clear" w:pos="8838"/>
        <w:tab w:val="center" w:pos="4986"/>
      </w:tabs>
    </w:pPr>
    <w:r w:rsidRPr="003620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452E" w14:textId="77777777" w:rsidR="0005035A" w:rsidRDefault="0005035A" w:rsidP="006932CE">
      <w:pPr>
        <w:spacing w:after="0" w:line="240" w:lineRule="auto"/>
      </w:pPr>
      <w:r>
        <w:separator/>
      </w:r>
    </w:p>
  </w:footnote>
  <w:footnote w:type="continuationSeparator" w:id="0">
    <w:p w14:paraId="5217B3F9" w14:textId="77777777" w:rsidR="0005035A" w:rsidRDefault="0005035A" w:rsidP="0069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7D95" w14:textId="592FD6AA" w:rsidR="00901550" w:rsidRDefault="00990004" w:rsidP="009015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4B230F" wp14:editId="2C8CAE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8528" cy="1250830"/>
          <wp:effectExtent l="0" t="0" r="127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628" cy="125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8C115" w14:textId="77777777" w:rsidR="000126AB" w:rsidRDefault="000126AB" w:rsidP="00901550">
    <w:pPr>
      <w:pStyle w:val="Encabezado"/>
      <w:jc w:val="center"/>
    </w:pPr>
  </w:p>
  <w:p w14:paraId="0BA78405" w14:textId="47E9517C" w:rsidR="00901550" w:rsidRDefault="00901550" w:rsidP="00901550">
    <w:pPr>
      <w:pStyle w:val="Encabezado"/>
      <w:jc w:val="center"/>
    </w:pPr>
  </w:p>
  <w:p w14:paraId="5CE7D6DD" w14:textId="452ACDCD" w:rsidR="00990004" w:rsidRDefault="00990004" w:rsidP="00901550">
    <w:pPr>
      <w:pStyle w:val="Encabezado"/>
      <w:jc w:val="center"/>
    </w:pPr>
  </w:p>
  <w:p w14:paraId="1626126F" w14:textId="4D9DE173" w:rsidR="00990004" w:rsidRDefault="00990004" w:rsidP="00901550">
    <w:pPr>
      <w:pStyle w:val="Encabezado"/>
      <w:jc w:val="center"/>
    </w:pPr>
  </w:p>
  <w:p w14:paraId="3CDECA4D" w14:textId="4A03B76D" w:rsidR="00990004" w:rsidRDefault="00990004" w:rsidP="00901550">
    <w:pPr>
      <w:pStyle w:val="Encabezado"/>
      <w:jc w:val="center"/>
    </w:pPr>
  </w:p>
  <w:p w14:paraId="0BA0A712" w14:textId="2D36022E" w:rsidR="00990004" w:rsidRDefault="00990004" w:rsidP="00901550">
    <w:pPr>
      <w:pStyle w:val="Encabezado"/>
      <w:jc w:val="center"/>
    </w:pPr>
  </w:p>
  <w:p w14:paraId="0BFE71BC" w14:textId="3B5DF6AA" w:rsidR="00990004" w:rsidRDefault="00990004" w:rsidP="00901550">
    <w:pPr>
      <w:pStyle w:val="Encabezado"/>
      <w:jc w:val="center"/>
    </w:pPr>
  </w:p>
  <w:p w14:paraId="26D58524" w14:textId="77777777" w:rsidR="00990004" w:rsidRPr="00DC1043" w:rsidRDefault="00990004" w:rsidP="00990004">
    <w:pPr>
      <w:pStyle w:val="Encabezado"/>
      <w:jc w:val="center"/>
      <w:rPr>
        <w:rFonts w:ascii="Candara" w:hAnsi="Candara"/>
        <w:b/>
        <w:bCs/>
        <w:sz w:val="18"/>
        <w:szCs w:val="18"/>
      </w:rPr>
    </w:pPr>
    <w:r w:rsidRPr="00DC1043">
      <w:rPr>
        <w:rFonts w:ascii="Candara" w:hAnsi="Candara"/>
        <w:b/>
        <w:bCs/>
        <w:sz w:val="18"/>
        <w:szCs w:val="18"/>
      </w:rPr>
      <w:t>“202</w:t>
    </w:r>
    <w:r>
      <w:rPr>
        <w:rFonts w:ascii="Candara" w:hAnsi="Candara"/>
        <w:b/>
        <w:bCs/>
        <w:sz w:val="18"/>
        <w:szCs w:val="18"/>
      </w:rPr>
      <w:t>2</w:t>
    </w:r>
    <w:r w:rsidRPr="00DC1043">
      <w:rPr>
        <w:rFonts w:ascii="Candara" w:hAnsi="Candara"/>
        <w:b/>
        <w:bCs/>
        <w:sz w:val="18"/>
        <w:szCs w:val="18"/>
      </w:rPr>
      <w:t xml:space="preserve">, AÑO </w:t>
    </w:r>
    <w:r w:rsidRPr="00473493">
      <w:rPr>
        <w:rFonts w:ascii="Candara" w:hAnsi="Candara"/>
        <w:b/>
        <w:bCs/>
        <w:sz w:val="18"/>
        <w:szCs w:val="18"/>
      </w:rPr>
      <w:t>DEL CENTENARIO DE LA CONSTITUCIÓN POLÍTICA DEL ESTADO LIBRE Y SOBERANO DE OAXACA</w:t>
    </w:r>
    <w:r>
      <w:rPr>
        <w:rFonts w:ascii="Candara" w:hAnsi="Candara"/>
        <w:b/>
        <w:bCs/>
        <w:sz w:val="18"/>
        <w:szCs w:val="18"/>
      </w:rPr>
      <w:t>.</w:t>
    </w:r>
    <w:r w:rsidRPr="00DC1043">
      <w:rPr>
        <w:rFonts w:ascii="Candara" w:hAnsi="Candara"/>
        <w:b/>
        <w:bCs/>
        <w:sz w:val="18"/>
        <w:szCs w:val="18"/>
      </w:rPr>
      <w:t>”</w:t>
    </w:r>
  </w:p>
  <w:p w14:paraId="1ECCA888" w14:textId="77777777" w:rsidR="00990004" w:rsidRDefault="00990004" w:rsidP="009015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6341"/>
    <w:multiLevelType w:val="hybridMultilevel"/>
    <w:tmpl w:val="6014592C"/>
    <w:lvl w:ilvl="0" w:tplc="56AC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CE"/>
    <w:rsid w:val="000126AB"/>
    <w:rsid w:val="0005035A"/>
    <w:rsid w:val="00072FE2"/>
    <w:rsid w:val="00080594"/>
    <w:rsid w:val="00093A29"/>
    <w:rsid w:val="000B149D"/>
    <w:rsid w:val="000F526C"/>
    <w:rsid w:val="0011430E"/>
    <w:rsid w:val="001214AE"/>
    <w:rsid w:val="001367D5"/>
    <w:rsid w:val="001766C0"/>
    <w:rsid w:val="001927E8"/>
    <w:rsid w:val="001D2E60"/>
    <w:rsid w:val="001F67A8"/>
    <w:rsid w:val="001F76CB"/>
    <w:rsid w:val="00251D56"/>
    <w:rsid w:val="002536F8"/>
    <w:rsid w:val="00277962"/>
    <w:rsid w:val="003620A5"/>
    <w:rsid w:val="00393105"/>
    <w:rsid w:val="003A7FE2"/>
    <w:rsid w:val="003B6C9B"/>
    <w:rsid w:val="003D644D"/>
    <w:rsid w:val="003F08D5"/>
    <w:rsid w:val="004364BA"/>
    <w:rsid w:val="00476C20"/>
    <w:rsid w:val="00484561"/>
    <w:rsid w:val="004A49CB"/>
    <w:rsid w:val="004B3293"/>
    <w:rsid w:val="00542DAF"/>
    <w:rsid w:val="00562D31"/>
    <w:rsid w:val="00573F1C"/>
    <w:rsid w:val="0059473D"/>
    <w:rsid w:val="00595238"/>
    <w:rsid w:val="005F502F"/>
    <w:rsid w:val="006932CE"/>
    <w:rsid w:val="006D629E"/>
    <w:rsid w:val="006D6A46"/>
    <w:rsid w:val="006E7289"/>
    <w:rsid w:val="0073310B"/>
    <w:rsid w:val="00741C4F"/>
    <w:rsid w:val="00766BD5"/>
    <w:rsid w:val="007C0954"/>
    <w:rsid w:val="00801045"/>
    <w:rsid w:val="00875841"/>
    <w:rsid w:val="00901550"/>
    <w:rsid w:val="0092160B"/>
    <w:rsid w:val="009778C4"/>
    <w:rsid w:val="00990004"/>
    <w:rsid w:val="009C5502"/>
    <w:rsid w:val="009F2ED3"/>
    <w:rsid w:val="00A3257C"/>
    <w:rsid w:val="00A66344"/>
    <w:rsid w:val="00AF6DD2"/>
    <w:rsid w:val="00B002E9"/>
    <w:rsid w:val="00B36B60"/>
    <w:rsid w:val="00B53E01"/>
    <w:rsid w:val="00B90F35"/>
    <w:rsid w:val="00BB42A3"/>
    <w:rsid w:val="00C27DC0"/>
    <w:rsid w:val="00C77429"/>
    <w:rsid w:val="00D6184B"/>
    <w:rsid w:val="00DB778E"/>
    <w:rsid w:val="00DF090C"/>
    <w:rsid w:val="00E35989"/>
    <w:rsid w:val="00E407B4"/>
    <w:rsid w:val="00E41681"/>
    <w:rsid w:val="00E43822"/>
    <w:rsid w:val="00E92820"/>
    <w:rsid w:val="00F1728C"/>
    <w:rsid w:val="00F53A2F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456E1"/>
  <w15:docId w15:val="{11034185-235F-4A9C-88E1-9743D5D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2CE"/>
  </w:style>
  <w:style w:type="paragraph" w:styleId="Piedepgina">
    <w:name w:val="footer"/>
    <w:basedOn w:val="Normal"/>
    <w:link w:val="Piedepgina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2CE"/>
  </w:style>
  <w:style w:type="character" w:styleId="Hipervnculo">
    <w:name w:val="Hyperlink"/>
    <w:basedOn w:val="Fuentedeprrafopredeter"/>
    <w:uiPriority w:val="99"/>
    <w:unhideWhenUsed/>
    <w:rsid w:val="00DF09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09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C095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0954"/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0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030B-6FE9-49C6-8DB5-CAAB8134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Dir_Ap_Leg</cp:lastModifiedBy>
  <cp:revision>4</cp:revision>
  <cp:lastPrinted>2021-04-08T17:50:00Z</cp:lastPrinted>
  <dcterms:created xsi:type="dcterms:W3CDTF">2022-07-07T19:34:00Z</dcterms:created>
  <dcterms:modified xsi:type="dcterms:W3CDTF">2022-07-07T19:34:00Z</dcterms:modified>
</cp:coreProperties>
</file>